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50" w:rsidRPr="00715B4B" w:rsidRDefault="00715B4B" w:rsidP="00715B4B">
      <w:pPr>
        <w:jc w:val="center"/>
        <w:rPr>
          <w:rFonts w:ascii="Franklin Gothic Book" w:hAnsi="Franklin Gothic Book"/>
          <w:b/>
          <w:color w:val="1F497D" w:themeColor="text2"/>
          <w:sz w:val="28"/>
        </w:rPr>
      </w:pPr>
      <w:r>
        <w:rPr>
          <w:rFonts w:ascii="Franklin Gothic Book" w:hAnsi="Franklin Gothic Book"/>
          <w:b/>
          <w:noProof/>
          <w:color w:val="1F497D" w:themeColor="text2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-723265</wp:posOffset>
            </wp:positionV>
            <wp:extent cx="1466850" cy="626745"/>
            <wp:effectExtent l="0" t="0" r="0" b="0"/>
            <wp:wrapTight wrapText="bothSides">
              <wp:wrapPolygon edited="0">
                <wp:start x="17953" y="0"/>
                <wp:lineTo x="281" y="9848"/>
                <wp:lineTo x="281" y="16413"/>
                <wp:lineTo x="1403" y="21009"/>
                <wp:lineTo x="3086" y="21009"/>
                <wp:lineTo x="5330" y="21009"/>
                <wp:lineTo x="13184" y="21009"/>
                <wp:lineTo x="21600" y="15757"/>
                <wp:lineTo x="21600" y="4596"/>
                <wp:lineTo x="21319" y="657"/>
                <wp:lineTo x="20478" y="0"/>
                <wp:lineTo x="17953" y="0"/>
              </wp:wrapPolygon>
            </wp:wrapTight>
            <wp:docPr id="1" name="Picture 6" descr="acheiveN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cheiveNJ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F0C" w:rsidRPr="00715B4B">
        <w:rPr>
          <w:rFonts w:ascii="Franklin Gothic Book" w:hAnsi="Franklin Gothic Book"/>
          <w:b/>
          <w:color w:val="1F497D" w:themeColor="text2"/>
          <w:sz w:val="28"/>
        </w:rPr>
        <w:t xml:space="preserve">Administering </w:t>
      </w:r>
      <w:r w:rsidRPr="00715B4B">
        <w:rPr>
          <w:rFonts w:ascii="Franklin Gothic Book" w:hAnsi="Franklin Gothic Book"/>
          <w:b/>
          <w:color w:val="1F497D" w:themeColor="text2"/>
          <w:sz w:val="28"/>
        </w:rPr>
        <w:t xml:space="preserve">and Scoring </w:t>
      </w:r>
      <w:r>
        <w:rPr>
          <w:rFonts w:ascii="Franklin Gothic Book" w:hAnsi="Franklin Gothic Book"/>
          <w:b/>
          <w:color w:val="1F497D" w:themeColor="text2"/>
          <w:sz w:val="28"/>
        </w:rPr>
        <w:t>SGO</w:t>
      </w:r>
      <w:r w:rsidR="003B6F0C" w:rsidRPr="00715B4B">
        <w:rPr>
          <w:rFonts w:ascii="Franklin Gothic Book" w:hAnsi="Franklin Gothic Book"/>
          <w:b/>
          <w:color w:val="1F497D" w:themeColor="text2"/>
          <w:sz w:val="28"/>
        </w:rPr>
        <w:t xml:space="preserve"> Assessments </w:t>
      </w:r>
      <w:r w:rsidRPr="00715B4B">
        <w:rPr>
          <w:rFonts w:ascii="Franklin Gothic Book" w:hAnsi="Franklin Gothic Book"/>
          <w:b/>
          <w:color w:val="1F497D" w:themeColor="text2"/>
          <w:sz w:val="28"/>
        </w:rPr>
        <w:t xml:space="preserve">to Increase </w:t>
      </w:r>
      <w:r w:rsidR="00724985">
        <w:rPr>
          <w:rFonts w:ascii="Franklin Gothic Book" w:hAnsi="Franklin Gothic Book"/>
          <w:b/>
          <w:color w:val="1F497D" w:themeColor="text2"/>
          <w:sz w:val="28"/>
        </w:rPr>
        <w:t>Reliability</w:t>
      </w:r>
      <w:r w:rsidRPr="00715B4B">
        <w:rPr>
          <w:rFonts w:ascii="Franklin Gothic Book" w:hAnsi="Franklin Gothic Book"/>
          <w:b/>
          <w:color w:val="1F497D" w:themeColor="text2"/>
          <w:sz w:val="28"/>
        </w:rPr>
        <w:t xml:space="preserve"> and Accuracy of </w:t>
      </w:r>
      <w:r w:rsidR="008670D6">
        <w:rPr>
          <w:rFonts w:ascii="Franklin Gothic Book" w:hAnsi="Franklin Gothic Book"/>
          <w:b/>
          <w:color w:val="1F497D" w:themeColor="text2"/>
          <w:sz w:val="28"/>
        </w:rPr>
        <w:t>Information</w:t>
      </w:r>
    </w:p>
    <w:p w:rsidR="003B6F0C" w:rsidRDefault="003B6F0C"/>
    <w:p w:rsidR="00B24436" w:rsidRDefault="00261A2A">
      <w:pPr>
        <w:rPr>
          <w:rFonts w:ascii="Franklin Gothic Book" w:eastAsia="Times New Roman" w:hAnsi="Franklin Gothic Book" w:cs="Times New Roman"/>
        </w:rPr>
      </w:pPr>
      <w:r>
        <w:rPr>
          <w:rFonts w:ascii="Franklin Gothic Book" w:hAnsi="Franklin Gothic Book"/>
        </w:rPr>
        <w:t>In order for Student Growth Objectives (SGOs) to capture a fair and accurate representation of what students know and can do,</w:t>
      </w:r>
      <w:r w:rsidR="00715B4B" w:rsidRPr="00715B4B">
        <w:rPr>
          <w:rFonts w:ascii="Franklin Gothic Book" w:hAnsi="Franklin Gothic Book"/>
        </w:rPr>
        <w:t xml:space="preserve"> </w:t>
      </w:r>
      <w:r w:rsidR="00724985">
        <w:rPr>
          <w:rFonts w:ascii="Franklin Gothic Book" w:hAnsi="Franklin Gothic Book"/>
        </w:rPr>
        <w:t xml:space="preserve">the information from </w:t>
      </w:r>
      <w:r w:rsidR="008670D6">
        <w:rPr>
          <w:rFonts w:ascii="Franklin Gothic Book" w:hAnsi="Franklin Gothic Book"/>
        </w:rPr>
        <w:t>student</w:t>
      </w:r>
      <w:r w:rsidR="00715B4B" w:rsidRPr="00715B4B">
        <w:rPr>
          <w:rFonts w:ascii="Franklin Gothic Book" w:hAnsi="Franklin Gothic Book"/>
        </w:rPr>
        <w:t xml:space="preserve"> assessments </w:t>
      </w:r>
      <w:r>
        <w:rPr>
          <w:rFonts w:ascii="Franklin Gothic Book" w:hAnsi="Franklin Gothic Book"/>
        </w:rPr>
        <w:t xml:space="preserve">must be </w:t>
      </w:r>
      <w:r w:rsidR="00724985">
        <w:rPr>
          <w:rFonts w:ascii="Franklin Gothic Book" w:hAnsi="Franklin Gothic Book"/>
        </w:rPr>
        <w:t xml:space="preserve">gathered in a reliable and accurate manner. </w:t>
      </w:r>
      <w:r w:rsidR="00715B4B" w:rsidRPr="00715B4B">
        <w:rPr>
          <w:rFonts w:ascii="Franklin Gothic Book" w:hAnsi="Franklin Gothic Book"/>
        </w:rPr>
        <w:t xml:space="preserve"> The </w:t>
      </w:r>
      <w:r w:rsidR="00315AFD">
        <w:rPr>
          <w:rFonts w:ascii="Franklin Gothic Book" w:hAnsi="Franklin Gothic Book"/>
        </w:rPr>
        <w:t xml:space="preserve">suggested and optional </w:t>
      </w:r>
      <w:r w:rsidR="00B24436">
        <w:rPr>
          <w:rFonts w:ascii="Franklin Gothic Book" w:hAnsi="Franklin Gothic Book"/>
        </w:rPr>
        <w:t>components in the table</w:t>
      </w:r>
      <w:r w:rsidR="00715B4B">
        <w:rPr>
          <w:rFonts w:ascii="Franklin Gothic Book" w:hAnsi="Franklin Gothic Book"/>
        </w:rPr>
        <w:t xml:space="preserve"> below can play a role in ensuring </w:t>
      </w:r>
      <w:r w:rsidR="00724985">
        <w:rPr>
          <w:rFonts w:ascii="Franklin Gothic Book" w:hAnsi="Franklin Gothic Book"/>
        </w:rPr>
        <w:t xml:space="preserve">the high quality of </w:t>
      </w:r>
      <w:r w:rsidR="00EB1A4C">
        <w:rPr>
          <w:rFonts w:ascii="Franklin Gothic Book" w:hAnsi="Franklin Gothic Book"/>
        </w:rPr>
        <w:t>assessment</w:t>
      </w:r>
      <w:r w:rsidR="00715B4B">
        <w:rPr>
          <w:rFonts w:ascii="Franklin Gothic Book" w:hAnsi="Franklin Gothic Book"/>
        </w:rPr>
        <w:t xml:space="preserve"> </w:t>
      </w:r>
      <w:r w:rsidR="00EB1A4C">
        <w:rPr>
          <w:rFonts w:ascii="Franklin Gothic Book" w:hAnsi="Franklin Gothic Book"/>
        </w:rPr>
        <w:t>administration and scoring</w:t>
      </w:r>
      <w:r w:rsidR="00715B4B">
        <w:rPr>
          <w:rFonts w:ascii="Franklin Gothic Book" w:hAnsi="Franklin Gothic Book"/>
        </w:rPr>
        <w:t xml:space="preserve">.  </w:t>
      </w:r>
      <w:r w:rsidR="00B24436">
        <w:rPr>
          <w:rFonts w:ascii="Franklin Gothic Book" w:hAnsi="Franklin Gothic Book"/>
        </w:rPr>
        <w:t xml:space="preserve">These suggestions </w:t>
      </w:r>
      <w:r w:rsidR="00715B4B">
        <w:rPr>
          <w:rFonts w:ascii="Franklin Gothic Book" w:hAnsi="Franklin Gothic Book"/>
        </w:rPr>
        <w:t xml:space="preserve">have been gathered </w:t>
      </w:r>
      <w:r w:rsidR="00715B4B" w:rsidRPr="00715B4B">
        <w:rPr>
          <w:rFonts w:ascii="Franklin Gothic Book" w:hAnsi="Franklin Gothic Book"/>
        </w:rPr>
        <w:t>from educators around the state</w:t>
      </w:r>
      <w:r>
        <w:rPr>
          <w:rFonts w:ascii="Franklin Gothic Book" w:hAnsi="Franklin Gothic Book"/>
        </w:rPr>
        <w:t>,</w:t>
      </w:r>
      <w:r w:rsidR="00715B4B" w:rsidRPr="00715B4B">
        <w:rPr>
          <w:rFonts w:ascii="Franklin Gothic Book" w:hAnsi="Franklin Gothic Book"/>
        </w:rPr>
        <w:t xml:space="preserve"> </w:t>
      </w:r>
      <w:r w:rsidR="00B24436">
        <w:rPr>
          <w:rFonts w:ascii="Franklin Gothic Book" w:hAnsi="Franklin Gothic Book"/>
        </w:rPr>
        <w:t>including members of the</w:t>
      </w:r>
      <w:r w:rsidR="00715B4B" w:rsidRPr="00715B4B">
        <w:rPr>
          <w:rFonts w:ascii="Franklin Gothic Book" w:hAnsi="Franklin Gothic Book"/>
        </w:rPr>
        <w:t xml:space="preserve"> AchieveNJ Advisory Committee (ANJAC), a group </w:t>
      </w:r>
      <w:r w:rsidR="00715B4B" w:rsidRPr="00715B4B">
        <w:rPr>
          <w:rFonts w:ascii="Franklin Gothic Book" w:eastAsia="Times New Roman" w:hAnsi="Franklin Gothic Book" w:cs="Times New Roman"/>
        </w:rPr>
        <w:t>composed of teachers, school and district leaders, and others who are actively engaged in evaluation implementation</w:t>
      </w:r>
      <w:r w:rsidR="008670D6">
        <w:rPr>
          <w:rFonts w:ascii="Franklin Gothic Book" w:eastAsia="Times New Roman" w:hAnsi="Franklin Gothic Book" w:cs="Times New Roman"/>
        </w:rPr>
        <w:t xml:space="preserve">.  Districts may use </w:t>
      </w:r>
      <w:r w:rsidR="00315AFD">
        <w:rPr>
          <w:rFonts w:ascii="Franklin Gothic Book" w:eastAsia="Times New Roman" w:hAnsi="Franklin Gothic Book" w:cs="Times New Roman"/>
        </w:rPr>
        <w:t>any or all of the components</w:t>
      </w:r>
      <w:r w:rsidR="00B24436">
        <w:rPr>
          <w:rFonts w:ascii="Franklin Gothic Book" w:eastAsia="Times New Roman" w:hAnsi="Franklin Gothic Book" w:cs="Times New Roman"/>
        </w:rPr>
        <w:t xml:space="preserve"> </w:t>
      </w:r>
      <w:r w:rsidR="008670D6">
        <w:rPr>
          <w:rFonts w:ascii="Franklin Gothic Book" w:eastAsia="Times New Roman" w:hAnsi="Franklin Gothic Book" w:cs="Times New Roman"/>
        </w:rPr>
        <w:t xml:space="preserve">below </w:t>
      </w:r>
      <w:r w:rsidR="00B24436">
        <w:rPr>
          <w:rFonts w:ascii="Franklin Gothic Book" w:eastAsia="Times New Roman" w:hAnsi="Franklin Gothic Book" w:cs="Times New Roman"/>
        </w:rPr>
        <w:t xml:space="preserve">as they develop </w:t>
      </w:r>
      <w:r w:rsidR="008670D6">
        <w:rPr>
          <w:rFonts w:ascii="Franklin Gothic Book" w:eastAsia="Times New Roman" w:hAnsi="Franklin Gothic Book" w:cs="Times New Roman"/>
        </w:rPr>
        <w:t xml:space="preserve">or modify </w:t>
      </w:r>
      <w:r w:rsidR="00B24436">
        <w:rPr>
          <w:rFonts w:ascii="Franklin Gothic Book" w:eastAsia="Times New Roman" w:hAnsi="Franklin Gothic Book" w:cs="Times New Roman"/>
        </w:rPr>
        <w:t xml:space="preserve">their own </w:t>
      </w:r>
      <w:r w:rsidR="008670D6">
        <w:rPr>
          <w:rFonts w:ascii="Franklin Gothic Book" w:eastAsia="Times New Roman" w:hAnsi="Franklin Gothic Book" w:cs="Times New Roman"/>
        </w:rPr>
        <w:t xml:space="preserve">assessment </w:t>
      </w:r>
      <w:r w:rsidR="00B24436">
        <w:rPr>
          <w:rFonts w:ascii="Franklin Gothic Book" w:eastAsia="Times New Roman" w:hAnsi="Franklin Gothic Book" w:cs="Times New Roman"/>
        </w:rPr>
        <w:t>policies.</w:t>
      </w:r>
    </w:p>
    <w:p w:rsidR="00B24436" w:rsidRDefault="00B24436">
      <w:pPr>
        <w:rPr>
          <w:rFonts w:ascii="Franklin Gothic Book" w:eastAsia="Times New Roman" w:hAnsi="Franklin Gothic Book" w:cs="Times New Roman"/>
        </w:rPr>
      </w:pP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3B6F0C" w:rsidRPr="003B6F0C" w:rsidTr="003B6F0C">
        <w:trPr>
          <w:trHeight w:val="584"/>
        </w:trPr>
        <w:tc>
          <w:tcPr>
            <w:tcW w:w="9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97D" w:themeFill="tex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F0C" w:rsidRPr="008670D6" w:rsidRDefault="003B6F0C" w:rsidP="00315AFD">
            <w:pPr>
              <w:jc w:val="center"/>
            </w:pPr>
            <w:r w:rsidRPr="008670D6">
              <w:rPr>
                <w:rFonts w:ascii="Franklin Gothic Book" w:hAnsi="Franklin Gothic Book"/>
                <w:color w:val="FFFFFF" w:themeColor="background1"/>
                <w:sz w:val="24"/>
              </w:rPr>
              <w:t>Potential Components of an Assessment Administration and Scoring Plan</w:t>
            </w:r>
            <w:r w:rsidR="00315AFD">
              <w:rPr>
                <w:rFonts w:ascii="Franklin Gothic Book" w:hAnsi="Franklin Gothic Book"/>
                <w:color w:val="FFFFFF" w:themeColor="background1"/>
                <w:sz w:val="24"/>
              </w:rPr>
              <w:t xml:space="preserve"> </w:t>
            </w:r>
          </w:p>
        </w:tc>
      </w:tr>
      <w:tr w:rsidR="003B6F0C" w:rsidRPr="003B6F0C" w:rsidTr="008670D6">
        <w:trPr>
          <w:trHeight w:val="584"/>
        </w:trPr>
        <w:tc>
          <w:tcPr>
            <w:tcW w:w="9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F0C" w:rsidRPr="008670D6" w:rsidRDefault="003B6F0C" w:rsidP="00261A2A">
            <w:r w:rsidRPr="008670D6">
              <w:rPr>
                <w:rFonts w:ascii="Franklin Gothic Book" w:hAnsi="Franklin Gothic Book"/>
              </w:rPr>
              <w:t xml:space="preserve">A common test protocol is devised </w:t>
            </w:r>
            <w:r w:rsidR="00261A2A">
              <w:rPr>
                <w:rFonts w:ascii="Franklin Gothic Book" w:hAnsi="Franklin Gothic Book"/>
              </w:rPr>
              <w:t>and agreed upon by a content/grade level d</w:t>
            </w:r>
            <w:r w:rsidRPr="008670D6">
              <w:rPr>
                <w:rFonts w:ascii="Franklin Gothic Book" w:hAnsi="Franklin Gothic Book"/>
              </w:rPr>
              <w:t>epartment’s</w:t>
            </w:r>
            <w:r w:rsidR="00261A2A">
              <w:t xml:space="preserve"> </w:t>
            </w:r>
            <w:r w:rsidRPr="008670D6">
              <w:rPr>
                <w:rFonts w:ascii="Franklin Gothic Book" w:hAnsi="Franklin Gothic Book"/>
              </w:rPr>
              <w:t>teachers and supervisor.</w:t>
            </w:r>
          </w:p>
        </w:tc>
      </w:tr>
      <w:tr w:rsidR="003B6F0C" w:rsidRPr="003B6F0C" w:rsidTr="008670D6">
        <w:trPr>
          <w:trHeight w:val="584"/>
        </w:trPr>
        <w:tc>
          <w:tcPr>
            <w:tcW w:w="9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F0C" w:rsidRPr="008670D6" w:rsidRDefault="00261A2A" w:rsidP="00261A2A">
            <w:r>
              <w:rPr>
                <w:rFonts w:ascii="Franklin Gothic Book" w:hAnsi="Franklin Gothic Book"/>
              </w:rPr>
              <w:t>Teachers are given a schedule for</w:t>
            </w:r>
            <w:r w:rsidR="003B6F0C" w:rsidRPr="008670D6">
              <w:rPr>
                <w:rFonts w:ascii="Franklin Gothic Book" w:hAnsi="Franklin Gothic Book"/>
              </w:rPr>
              <w:t xml:space="preserve"> proctoring their colleagues’ tests for the testing period.  Strong classroom managers are assigned to the most challenging classes.</w:t>
            </w:r>
          </w:p>
        </w:tc>
      </w:tr>
      <w:tr w:rsidR="003B6F0C" w:rsidRPr="003B6F0C" w:rsidTr="008670D6">
        <w:trPr>
          <w:trHeight w:val="584"/>
        </w:trPr>
        <w:tc>
          <w:tcPr>
            <w:tcW w:w="9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F0C" w:rsidRPr="008670D6" w:rsidRDefault="003B6F0C" w:rsidP="008670D6">
            <w:r w:rsidRPr="008670D6">
              <w:rPr>
                <w:rFonts w:ascii="Franklin Gothic Book" w:hAnsi="Franklin Gothic Book"/>
              </w:rPr>
              <w:t>Tests are administered and collected by the supervisor.</w:t>
            </w:r>
          </w:p>
        </w:tc>
      </w:tr>
      <w:tr w:rsidR="003B6F0C" w:rsidRPr="003B6F0C" w:rsidTr="008670D6">
        <w:trPr>
          <w:trHeight w:val="584"/>
        </w:trPr>
        <w:tc>
          <w:tcPr>
            <w:tcW w:w="9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F0C" w:rsidRPr="008670D6" w:rsidRDefault="003B6F0C" w:rsidP="00261A2A">
            <w:pPr>
              <w:rPr>
                <w:rFonts w:ascii="Franklin Gothic Book" w:hAnsi="Franklin Gothic Book"/>
              </w:rPr>
            </w:pPr>
            <w:r w:rsidRPr="008670D6">
              <w:rPr>
                <w:rFonts w:ascii="Franklin Gothic Book" w:hAnsi="Franklin Gothic Book"/>
              </w:rPr>
              <w:t xml:space="preserve">The supervisor distributes the tests for grading by the teachers’ </w:t>
            </w:r>
            <w:r w:rsidR="00261A2A">
              <w:rPr>
                <w:rFonts w:ascii="Franklin Gothic Book" w:hAnsi="Franklin Gothic Book"/>
              </w:rPr>
              <w:t>d</w:t>
            </w:r>
            <w:r w:rsidRPr="008670D6">
              <w:rPr>
                <w:rFonts w:ascii="Franklin Gothic Book" w:hAnsi="Franklin Gothic Book"/>
              </w:rPr>
              <w:t>epartment colleagues.</w:t>
            </w:r>
          </w:p>
        </w:tc>
      </w:tr>
      <w:tr w:rsidR="003B6F0C" w:rsidRPr="003B6F0C" w:rsidTr="008670D6">
        <w:trPr>
          <w:trHeight w:val="584"/>
        </w:trPr>
        <w:tc>
          <w:tcPr>
            <w:tcW w:w="9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F0C" w:rsidRPr="008670D6" w:rsidRDefault="003B6F0C" w:rsidP="008670D6">
            <w:pPr>
              <w:rPr>
                <w:rFonts w:ascii="Franklin Gothic Book" w:hAnsi="Franklin Gothic Book"/>
              </w:rPr>
            </w:pPr>
            <w:r w:rsidRPr="008670D6">
              <w:rPr>
                <w:rFonts w:ascii="Franklin Gothic Book" w:hAnsi="Franklin Gothic Book"/>
              </w:rPr>
              <w:t>Teachers use an agreed upon scoring protocol and grade several tests together to “norm” themselves.</w:t>
            </w:r>
          </w:p>
        </w:tc>
      </w:tr>
      <w:tr w:rsidR="003B6F0C" w:rsidRPr="003B6F0C" w:rsidTr="008670D6">
        <w:trPr>
          <w:trHeight w:val="584"/>
        </w:trPr>
        <w:tc>
          <w:tcPr>
            <w:tcW w:w="9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F0C" w:rsidRPr="008670D6" w:rsidRDefault="003B6F0C" w:rsidP="008670D6">
            <w:pPr>
              <w:rPr>
                <w:rFonts w:ascii="Franklin Gothic Book" w:hAnsi="Franklin Gothic Book"/>
              </w:rPr>
            </w:pPr>
            <w:r w:rsidRPr="008670D6">
              <w:rPr>
                <w:rFonts w:ascii="Franklin Gothic Book" w:hAnsi="Franklin Gothic Book"/>
              </w:rPr>
              <w:t>The supervisor acts as final arbiter in cases where a question arises during scoring.</w:t>
            </w:r>
          </w:p>
        </w:tc>
      </w:tr>
      <w:tr w:rsidR="003B6F0C" w:rsidRPr="003B6F0C" w:rsidTr="008670D6">
        <w:trPr>
          <w:trHeight w:val="584"/>
        </w:trPr>
        <w:tc>
          <w:tcPr>
            <w:tcW w:w="9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F0C" w:rsidRPr="008670D6" w:rsidRDefault="003B6F0C" w:rsidP="008670D6">
            <w:pPr>
              <w:rPr>
                <w:rFonts w:ascii="Franklin Gothic Book" w:hAnsi="Franklin Gothic Book"/>
              </w:rPr>
            </w:pPr>
            <w:r w:rsidRPr="008670D6">
              <w:rPr>
                <w:rFonts w:ascii="Franklin Gothic Book" w:hAnsi="Franklin Gothic Book"/>
              </w:rPr>
              <w:t>All tests are submitted to the supervisor for final approval.</w:t>
            </w:r>
          </w:p>
        </w:tc>
      </w:tr>
      <w:tr w:rsidR="003B6F0C" w:rsidRPr="003B6F0C" w:rsidTr="008670D6">
        <w:trPr>
          <w:trHeight w:val="584"/>
        </w:trPr>
        <w:tc>
          <w:tcPr>
            <w:tcW w:w="9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F0C" w:rsidRPr="008670D6" w:rsidRDefault="003B6F0C" w:rsidP="008670D6">
            <w:pPr>
              <w:rPr>
                <w:rFonts w:ascii="Franklin Gothic Book" w:hAnsi="Franklin Gothic Book"/>
              </w:rPr>
            </w:pPr>
            <w:r w:rsidRPr="008670D6">
              <w:rPr>
                <w:rFonts w:ascii="Franklin Gothic Book" w:hAnsi="Franklin Gothic Book"/>
              </w:rPr>
              <w:t>The supervisor may audit tests as needed to check for consistency and accuracy of scoring.</w:t>
            </w:r>
          </w:p>
        </w:tc>
      </w:tr>
    </w:tbl>
    <w:p w:rsidR="003B6F0C" w:rsidRDefault="003B6F0C"/>
    <w:sectPr w:rsidR="003B6F0C" w:rsidSect="0073725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FD" w:rsidRDefault="00315AFD" w:rsidP="00315AFD">
      <w:r>
        <w:separator/>
      </w:r>
    </w:p>
  </w:endnote>
  <w:endnote w:type="continuationSeparator" w:id="0">
    <w:p w:rsidR="00315AFD" w:rsidRDefault="00315AFD" w:rsidP="0031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2A" w:rsidRPr="00261A2A" w:rsidRDefault="00261A2A" w:rsidP="00FF11C9">
    <w:pPr>
      <w:pStyle w:val="Footer"/>
      <w:jc w:val="right"/>
      <w:rPr>
        <w:rFonts w:ascii="Franklin Gothic Book" w:hAnsi="Franklin Gothic Book"/>
        <w:color w:val="1F497D" w:themeColor="text2"/>
        <w:sz w:val="20"/>
        <w:szCs w:val="20"/>
      </w:rPr>
    </w:pPr>
    <w:r w:rsidRPr="00261A2A">
      <w:rPr>
        <w:rFonts w:ascii="Franklin Gothic Book" w:hAnsi="Franklin Gothic Book"/>
        <w:color w:val="1F497D" w:themeColor="text2"/>
        <w:sz w:val="20"/>
        <w:szCs w:val="20"/>
      </w:rPr>
      <w:t xml:space="preserve">New Jersey </w:t>
    </w:r>
    <w:r w:rsidR="00FF11C9">
      <w:rPr>
        <w:rFonts w:ascii="Franklin Gothic Book" w:hAnsi="Franklin Gothic Book"/>
        <w:color w:val="1F497D" w:themeColor="text2"/>
        <w:sz w:val="20"/>
        <w:szCs w:val="20"/>
      </w:rPr>
      <w:t>Department of Education (3-15</w:t>
    </w:r>
    <w:r w:rsidRPr="00261A2A">
      <w:rPr>
        <w:rFonts w:ascii="Franklin Gothic Book" w:hAnsi="Franklin Gothic Book"/>
        <w:color w:val="1F497D" w:themeColor="text2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FD" w:rsidRDefault="00315AFD" w:rsidP="00315AFD">
      <w:r>
        <w:separator/>
      </w:r>
    </w:p>
  </w:footnote>
  <w:footnote w:type="continuationSeparator" w:id="0">
    <w:p w:rsidR="00315AFD" w:rsidRDefault="00315AFD" w:rsidP="00315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0B6E"/>
    <w:multiLevelType w:val="hybridMultilevel"/>
    <w:tmpl w:val="417EE9D6"/>
    <w:lvl w:ilvl="0" w:tplc="6A5E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C7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C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46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80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6E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83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C7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C4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F0C"/>
    <w:rsid w:val="001D6994"/>
    <w:rsid w:val="001F14CD"/>
    <w:rsid w:val="00261A2A"/>
    <w:rsid w:val="002D5341"/>
    <w:rsid w:val="00315AFD"/>
    <w:rsid w:val="00324626"/>
    <w:rsid w:val="003B6F0C"/>
    <w:rsid w:val="0044480A"/>
    <w:rsid w:val="005C6F9E"/>
    <w:rsid w:val="00715B4B"/>
    <w:rsid w:val="00724985"/>
    <w:rsid w:val="0073381A"/>
    <w:rsid w:val="00737250"/>
    <w:rsid w:val="007754FB"/>
    <w:rsid w:val="007E7A86"/>
    <w:rsid w:val="00846982"/>
    <w:rsid w:val="008670D6"/>
    <w:rsid w:val="008D1733"/>
    <w:rsid w:val="009560A8"/>
    <w:rsid w:val="00A418F6"/>
    <w:rsid w:val="00A435CE"/>
    <w:rsid w:val="00AC34A9"/>
    <w:rsid w:val="00B24436"/>
    <w:rsid w:val="00E040D3"/>
    <w:rsid w:val="00E677BD"/>
    <w:rsid w:val="00E94EA6"/>
    <w:rsid w:val="00EB1A4C"/>
    <w:rsid w:val="00FB43EE"/>
    <w:rsid w:val="00FF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3B6F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B6F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B6F0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15A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A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AF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61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A2A"/>
  </w:style>
  <w:style w:type="paragraph" w:styleId="Footer">
    <w:name w:val="footer"/>
    <w:basedOn w:val="Normal"/>
    <w:link w:val="FooterChar"/>
    <w:uiPriority w:val="99"/>
    <w:semiHidden/>
    <w:unhideWhenUsed/>
    <w:rsid w:val="00261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CC3B1-40F9-4109-98B9-B8775902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cblancha</dc:creator>
  <cp:lastModifiedBy>jpickfor</cp:lastModifiedBy>
  <cp:revision>2</cp:revision>
  <dcterms:created xsi:type="dcterms:W3CDTF">2015-03-19T20:55:00Z</dcterms:created>
  <dcterms:modified xsi:type="dcterms:W3CDTF">2015-03-19T20:55:00Z</dcterms:modified>
</cp:coreProperties>
</file>